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6B108EF" w14:textId="77777777" w:rsidR="009C131A" w:rsidRDefault="009C131A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9C131A" w14:paraId="3FE361D8" w14:textId="77777777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08B78" w14:textId="77777777" w:rsidR="009C131A" w:rsidRDefault="005A3310">
            <w:pPr>
              <w:pStyle w:val="normal0"/>
            </w:pPr>
            <w:r>
              <w:rPr>
                <w:color w:val="674EA7"/>
              </w:rPr>
              <w:t xml:space="preserve">Use the Van de </w:t>
            </w:r>
            <w:proofErr w:type="spellStart"/>
            <w:r>
              <w:rPr>
                <w:color w:val="674EA7"/>
              </w:rPr>
              <w:t>Walle</w:t>
            </w:r>
            <w:proofErr w:type="spellEnd"/>
            <w:r>
              <w:rPr>
                <w:color w:val="674EA7"/>
              </w:rPr>
              <w:t xml:space="preserve"> text and the TN Math Standards to complete this assignment. If other resources are used in addition, please cite with the URL or bibliographic information.</w:t>
            </w:r>
          </w:p>
        </w:tc>
      </w:tr>
    </w:tbl>
    <w:p w14:paraId="19BA9533" w14:textId="77777777" w:rsidR="009C131A" w:rsidRDefault="009C131A">
      <w:pPr>
        <w:pStyle w:val="normal0"/>
      </w:pPr>
    </w:p>
    <w:p w14:paraId="25FA81D9" w14:textId="4BD01325" w:rsidR="009C131A" w:rsidRPr="000A1442" w:rsidRDefault="00617D6C">
      <w:pPr>
        <w:pStyle w:val="normal0"/>
        <w:rPr>
          <w:b/>
        </w:rPr>
      </w:pPr>
      <w:r>
        <w:rPr>
          <w:b/>
        </w:rPr>
        <w:t>Chapter 19</w:t>
      </w:r>
      <w:r w:rsidR="00072F6B">
        <w:rPr>
          <w:b/>
        </w:rPr>
        <w:t xml:space="preserve"> – </w:t>
      </w:r>
      <w:r>
        <w:rPr>
          <w:b/>
        </w:rPr>
        <w:t>Developing Measurement Concepts</w:t>
      </w:r>
    </w:p>
    <w:p w14:paraId="16541DC7" w14:textId="77777777" w:rsidR="009C131A" w:rsidRDefault="009C131A">
      <w:pPr>
        <w:pStyle w:val="normal0"/>
      </w:pPr>
    </w:p>
    <w:p w14:paraId="3CE38FEB" w14:textId="26CA13A2" w:rsidR="00183709" w:rsidRDefault="00617D6C" w:rsidP="00072F6B">
      <w:pPr>
        <w:pStyle w:val="normal0"/>
        <w:numPr>
          <w:ilvl w:val="0"/>
          <w:numId w:val="10"/>
        </w:numPr>
        <w:contextualSpacing/>
      </w:pPr>
      <w:r>
        <w:t>Data from international studies consistently indicate that U.S. students are weaker in the area of ____________________________ than any other topic in the mathematics curriculum (Thompson &amp; Preston, 2004). (p. 453)</w:t>
      </w:r>
    </w:p>
    <w:p w14:paraId="5B9BBAF5" w14:textId="77777777" w:rsidR="00072F6B" w:rsidRDefault="00072F6B" w:rsidP="00072F6B">
      <w:pPr>
        <w:pStyle w:val="normal0"/>
        <w:contextualSpacing/>
      </w:pPr>
    </w:p>
    <w:p w14:paraId="149EF896" w14:textId="4B72EA37" w:rsidR="00072F6B" w:rsidRDefault="00617D6C" w:rsidP="00072F6B">
      <w:pPr>
        <w:pStyle w:val="normal0"/>
        <w:numPr>
          <w:ilvl w:val="0"/>
          <w:numId w:val="10"/>
        </w:numPr>
        <w:contextualSpacing/>
      </w:pPr>
      <w:r>
        <w:t>What are the 3 steps to measure something? (p. 454)</w:t>
      </w:r>
    </w:p>
    <w:tbl>
      <w:tblPr>
        <w:tblStyle w:val="TableGrid"/>
        <w:tblW w:w="0" w:type="auto"/>
        <w:tblInd w:w="576" w:type="dxa"/>
        <w:tblLook w:val="04A0" w:firstRow="1" w:lastRow="0" w:firstColumn="1" w:lastColumn="0" w:noHBand="0" w:noVBand="1"/>
      </w:tblPr>
      <w:tblGrid>
        <w:gridCol w:w="8883"/>
      </w:tblGrid>
      <w:tr w:rsidR="00617D6C" w14:paraId="5DA1E2C2" w14:textId="77777777" w:rsidTr="00617D6C">
        <w:trPr>
          <w:trHeight w:val="263"/>
        </w:trPr>
        <w:tc>
          <w:tcPr>
            <w:tcW w:w="8883" w:type="dxa"/>
          </w:tcPr>
          <w:p w14:paraId="47103BA6" w14:textId="129019F9" w:rsidR="00617D6C" w:rsidRDefault="00617D6C" w:rsidP="00072F6B">
            <w:pPr>
              <w:pStyle w:val="normal0"/>
              <w:contextualSpacing/>
            </w:pPr>
          </w:p>
        </w:tc>
      </w:tr>
      <w:tr w:rsidR="00617D6C" w14:paraId="7BA8E9B9" w14:textId="77777777" w:rsidTr="00617D6C">
        <w:trPr>
          <w:trHeight w:val="253"/>
        </w:trPr>
        <w:tc>
          <w:tcPr>
            <w:tcW w:w="8883" w:type="dxa"/>
          </w:tcPr>
          <w:p w14:paraId="5B55604F" w14:textId="12B2A811" w:rsidR="00617D6C" w:rsidRDefault="00617D6C" w:rsidP="00072F6B">
            <w:pPr>
              <w:pStyle w:val="normal0"/>
              <w:contextualSpacing/>
            </w:pPr>
          </w:p>
        </w:tc>
      </w:tr>
      <w:tr w:rsidR="00617D6C" w14:paraId="369D5775" w14:textId="77777777" w:rsidTr="00617D6C">
        <w:trPr>
          <w:trHeight w:val="253"/>
        </w:trPr>
        <w:tc>
          <w:tcPr>
            <w:tcW w:w="8883" w:type="dxa"/>
          </w:tcPr>
          <w:p w14:paraId="20DC184F" w14:textId="6DD86D1B" w:rsidR="00617D6C" w:rsidRDefault="00617D6C" w:rsidP="00072F6B">
            <w:pPr>
              <w:pStyle w:val="normal0"/>
              <w:contextualSpacing/>
            </w:pPr>
          </w:p>
        </w:tc>
      </w:tr>
    </w:tbl>
    <w:p w14:paraId="3C70972A" w14:textId="77777777" w:rsidR="003067D8" w:rsidRDefault="003067D8" w:rsidP="003067D8">
      <w:pPr>
        <w:pStyle w:val="normal0"/>
        <w:contextualSpacing/>
      </w:pPr>
    </w:p>
    <w:p w14:paraId="5A859590" w14:textId="77777777" w:rsidR="00AD4BBC" w:rsidRDefault="00AD4BBC" w:rsidP="008C458A">
      <w:pPr>
        <w:pStyle w:val="normal0"/>
        <w:numPr>
          <w:ilvl w:val="0"/>
          <w:numId w:val="10"/>
        </w:numPr>
        <w:contextualSpacing/>
      </w:pPr>
      <w:r>
        <w:t xml:space="preserve">Connect the TN Math Content Standards to </w:t>
      </w:r>
    </w:p>
    <w:p w14:paraId="06788458" w14:textId="745AA855" w:rsidR="003067D8" w:rsidRDefault="00AD4BBC" w:rsidP="00AD4BBC">
      <w:pPr>
        <w:pStyle w:val="normal0"/>
        <w:contextualSpacing/>
      </w:pPr>
      <w:r>
        <w:tab/>
        <w:t>Table 19.1 Measurement Instruction: A Sequence of Experiences (p. 455)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98"/>
        <w:gridCol w:w="6678"/>
      </w:tblGrid>
      <w:tr w:rsidR="00AD4BBC" w14:paraId="5647CA03" w14:textId="77777777" w:rsidTr="00160982">
        <w:tc>
          <w:tcPr>
            <w:tcW w:w="2898" w:type="dxa"/>
            <w:shd w:val="clear" w:color="auto" w:fill="CCFFFF"/>
            <w:vAlign w:val="center"/>
          </w:tcPr>
          <w:p w14:paraId="158C56C1" w14:textId="2E930DCF" w:rsidR="00AD4BBC" w:rsidRDefault="00AD4BBC" w:rsidP="00AD4BBC">
            <w:pPr>
              <w:pStyle w:val="normal0"/>
              <w:contextualSpacing/>
              <w:jc w:val="center"/>
            </w:pPr>
            <w:r>
              <w:t>Step</w:t>
            </w:r>
          </w:p>
        </w:tc>
        <w:tc>
          <w:tcPr>
            <w:tcW w:w="6678" w:type="dxa"/>
            <w:shd w:val="clear" w:color="auto" w:fill="CCFFFF"/>
          </w:tcPr>
          <w:p w14:paraId="3689470C" w14:textId="77777777" w:rsidR="006441CB" w:rsidRDefault="00AD4BBC" w:rsidP="00AD4BBC">
            <w:pPr>
              <w:pStyle w:val="normal0"/>
              <w:contextualSpacing/>
              <w:jc w:val="center"/>
            </w:pPr>
            <w:r>
              <w:t xml:space="preserve">Find at least one standard where the step is addressed </w:t>
            </w:r>
          </w:p>
          <w:p w14:paraId="43E8D532" w14:textId="4B775B9E" w:rsidR="00AD4BBC" w:rsidRDefault="00AD4BBC" w:rsidP="00AD4BBC">
            <w:pPr>
              <w:pStyle w:val="normal0"/>
              <w:contextualSpacing/>
              <w:jc w:val="center"/>
            </w:pPr>
            <w:r>
              <w:t>(Copy the standard</w:t>
            </w:r>
            <w:r w:rsidR="006441CB">
              <w:t>–code &amp; description–</w:t>
            </w:r>
            <w:r>
              <w:t xml:space="preserve"> from </w:t>
            </w:r>
            <w:hyperlink r:id="rId8" w:history="1">
              <w:r w:rsidRPr="00160878">
                <w:rPr>
                  <w:rStyle w:val="Hyperlink"/>
                </w:rPr>
                <w:t>https://www.tn.gov/assets/entities/sbe/attachments/4-15-16_V_A_Math_Standards_Attachment.pdf</w:t>
              </w:r>
            </w:hyperlink>
            <w:r>
              <w:t>)</w:t>
            </w:r>
          </w:p>
        </w:tc>
      </w:tr>
      <w:tr w:rsidR="00AD4BBC" w14:paraId="029ABEA7" w14:textId="77777777" w:rsidTr="006441CB">
        <w:tc>
          <w:tcPr>
            <w:tcW w:w="2898" w:type="dxa"/>
          </w:tcPr>
          <w:p w14:paraId="1B1DAFAE" w14:textId="577375BD" w:rsidR="00AD4BBC" w:rsidRDefault="00AD4BBC" w:rsidP="00AD4BBC">
            <w:pPr>
              <w:pStyle w:val="normal0"/>
              <w:contextualSpacing/>
            </w:pPr>
            <w:r>
              <w:t>Make comparisons</w:t>
            </w:r>
          </w:p>
        </w:tc>
        <w:tc>
          <w:tcPr>
            <w:tcW w:w="6678" w:type="dxa"/>
          </w:tcPr>
          <w:p w14:paraId="5CE970D7" w14:textId="77777777" w:rsidR="00AD4BBC" w:rsidRDefault="00AD4BBC" w:rsidP="00AD4BBC">
            <w:pPr>
              <w:pStyle w:val="normal0"/>
              <w:contextualSpacing/>
            </w:pPr>
          </w:p>
        </w:tc>
      </w:tr>
      <w:tr w:rsidR="00AD4BBC" w14:paraId="6C106365" w14:textId="77777777" w:rsidTr="006441CB">
        <w:tc>
          <w:tcPr>
            <w:tcW w:w="2898" w:type="dxa"/>
          </w:tcPr>
          <w:p w14:paraId="0590B848" w14:textId="0378A70F" w:rsidR="00AD4BBC" w:rsidRDefault="00AD4BBC" w:rsidP="00AD4BBC">
            <w:pPr>
              <w:pStyle w:val="normal0"/>
              <w:contextualSpacing/>
            </w:pPr>
            <w:r>
              <w:t>Use physical models of measuring units</w:t>
            </w:r>
          </w:p>
        </w:tc>
        <w:tc>
          <w:tcPr>
            <w:tcW w:w="6678" w:type="dxa"/>
          </w:tcPr>
          <w:p w14:paraId="1BFA4AB3" w14:textId="77777777" w:rsidR="00AD4BBC" w:rsidRDefault="00AD4BBC" w:rsidP="00AD4BBC">
            <w:pPr>
              <w:pStyle w:val="normal0"/>
              <w:contextualSpacing/>
            </w:pPr>
          </w:p>
        </w:tc>
      </w:tr>
      <w:tr w:rsidR="00AD4BBC" w14:paraId="4F955359" w14:textId="77777777" w:rsidTr="006441CB">
        <w:tc>
          <w:tcPr>
            <w:tcW w:w="2898" w:type="dxa"/>
          </w:tcPr>
          <w:p w14:paraId="4BC21B5B" w14:textId="46ADA44B" w:rsidR="00AD4BBC" w:rsidRDefault="00AD4BBC" w:rsidP="00AD4BBC">
            <w:pPr>
              <w:pStyle w:val="normal0"/>
              <w:contextualSpacing/>
            </w:pPr>
            <w:r>
              <w:t>Use measuring instruments</w:t>
            </w:r>
          </w:p>
        </w:tc>
        <w:tc>
          <w:tcPr>
            <w:tcW w:w="6678" w:type="dxa"/>
          </w:tcPr>
          <w:p w14:paraId="70A04573" w14:textId="77777777" w:rsidR="00AD4BBC" w:rsidRDefault="00AD4BBC" w:rsidP="00AD4BBC">
            <w:pPr>
              <w:pStyle w:val="normal0"/>
              <w:contextualSpacing/>
            </w:pPr>
          </w:p>
        </w:tc>
      </w:tr>
    </w:tbl>
    <w:p w14:paraId="6581860F" w14:textId="77777777" w:rsidR="008C458A" w:rsidRDefault="008C458A" w:rsidP="008C458A">
      <w:pPr>
        <w:pStyle w:val="normal0"/>
        <w:contextualSpacing/>
      </w:pPr>
    </w:p>
    <w:p w14:paraId="2D3357DC" w14:textId="2A04F468" w:rsidR="008C458A" w:rsidRDefault="006441CB" w:rsidP="008C458A">
      <w:pPr>
        <w:pStyle w:val="normal0"/>
        <w:numPr>
          <w:ilvl w:val="0"/>
          <w:numId w:val="10"/>
        </w:numPr>
        <w:contextualSpacing/>
      </w:pPr>
      <w:r>
        <w:t xml:space="preserve">Define the word </w:t>
      </w:r>
      <w:r w:rsidRPr="006441CB">
        <w:rPr>
          <w:i/>
          <w:color w:val="3366FF"/>
        </w:rPr>
        <w:t>tiling</w:t>
      </w:r>
      <w:r>
        <w:t xml:space="preserve"> when used in the context of using physical models of measuring units. (p. 455)</w:t>
      </w:r>
    </w:p>
    <w:p w14:paraId="5558EC0D" w14:textId="77777777" w:rsidR="008C458A" w:rsidRDefault="008C458A" w:rsidP="008C458A">
      <w:pPr>
        <w:pStyle w:val="normal0"/>
        <w:contextualSpacing/>
      </w:pPr>
    </w:p>
    <w:p w14:paraId="7ED0814F" w14:textId="5C444D59" w:rsidR="00B346A3" w:rsidRDefault="006441CB" w:rsidP="006441CB">
      <w:pPr>
        <w:pStyle w:val="normal0"/>
        <w:numPr>
          <w:ilvl w:val="0"/>
          <w:numId w:val="10"/>
        </w:numPr>
        <w:contextualSpacing/>
      </w:pPr>
      <w:r>
        <w:t>What is the benefit to students of creating simple measuring instruments rather than going straight to utilizing tools, such as rulers, to measure length? (p. 456)</w:t>
      </w:r>
    </w:p>
    <w:p w14:paraId="3F43E762" w14:textId="77777777" w:rsidR="00B346A3" w:rsidRDefault="00B346A3" w:rsidP="00B346A3">
      <w:pPr>
        <w:pStyle w:val="normal0"/>
        <w:ind w:left="720"/>
        <w:contextualSpacing/>
      </w:pPr>
    </w:p>
    <w:p w14:paraId="31BF9B02" w14:textId="3B397B79" w:rsidR="00B346A3" w:rsidRDefault="006441CB" w:rsidP="00B3267B">
      <w:pPr>
        <w:pStyle w:val="normal0"/>
        <w:numPr>
          <w:ilvl w:val="0"/>
          <w:numId w:val="10"/>
        </w:numPr>
        <w:contextualSpacing/>
      </w:pPr>
      <w:r>
        <w:t xml:space="preserve">What are three reasons for the use of nonstandard units for beginning measurement activities </w:t>
      </w:r>
      <w:r w:rsidR="009536B9">
        <w:t xml:space="preserve"> (p. </w:t>
      </w:r>
      <w:r>
        <w:t>456</w:t>
      </w:r>
      <w:r w:rsidR="009536B9">
        <w:t>)</w:t>
      </w:r>
    </w:p>
    <w:tbl>
      <w:tblPr>
        <w:tblStyle w:val="TableGrid"/>
        <w:tblW w:w="0" w:type="auto"/>
        <w:tblInd w:w="576" w:type="dxa"/>
        <w:tblLook w:val="04A0" w:firstRow="1" w:lastRow="0" w:firstColumn="1" w:lastColumn="0" w:noHBand="0" w:noVBand="1"/>
      </w:tblPr>
      <w:tblGrid>
        <w:gridCol w:w="8883"/>
      </w:tblGrid>
      <w:tr w:rsidR="006441CB" w14:paraId="54DF34A2" w14:textId="77777777" w:rsidTr="006441CB">
        <w:trPr>
          <w:trHeight w:val="263"/>
        </w:trPr>
        <w:tc>
          <w:tcPr>
            <w:tcW w:w="8883" w:type="dxa"/>
          </w:tcPr>
          <w:p w14:paraId="65B110D2" w14:textId="77777777" w:rsidR="006441CB" w:rsidRDefault="006441CB" w:rsidP="006441CB">
            <w:pPr>
              <w:pStyle w:val="normal0"/>
              <w:contextualSpacing/>
            </w:pPr>
          </w:p>
        </w:tc>
      </w:tr>
      <w:tr w:rsidR="006441CB" w14:paraId="36C7E0C7" w14:textId="77777777" w:rsidTr="006441CB">
        <w:trPr>
          <w:trHeight w:val="253"/>
        </w:trPr>
        <w:tc>
          <w:tcPr>
            <w:tcW w:w="8883" w:type="dxa"/>
          </w:tcPr>
          <w:p w14:paraId="11F31DB8" w14:textId="77777777" w:rsidR="006441CB" w:rsidRDefault="006441CB" w:rsidP="006441CB">
            <w:pPr>
              <w:pStyle w:val="normal0"/>
              <w:contextualSpacing/>
            </w:pPr>
          </w:p>
        </w:tc>
      </w:tr>
      <w:tr w:rsidR="006441CB" w14:paraId="030A3EC9" w14:textId="77777777" w:rsidTr="006441CB">
        <w:trPr>
          <w:trHeight w:val="253"/>
        </w:trPr>
        <w:tc>
          <w:tcPr>
            <w:tcW w:w="8883" w:type="dxa"/>
          </w:tcPr>
          <w:p w14:paraId="2D071054" w14:textId="77777777" w:rsidR="006441CB" w:rsidRDefault="006441CB" w:rsidP="006441CB">
            <w:pPr>
              <w:pStyle w:val="normal0"/>
              <w:contextualSpacing/>
            </w:pPr>
          </w:p>
        </w:tc>
      </w:tr>
    </w:tbl>
    <w:p w14:paraId="2DDCD204" w14:textId="77777777" w:rsidR="00B3267B" w:rsidRDefault="00B3267B" w:rsidP="00B3267B">
      <w:pPr>
        <w:pStyle w:val="normal0"/>
        <w:contextualSpacing/>
      </w:pPr>
    </w:p>
    <w:p w14:paraId="66077BDB" w14:textId="0D76DBAB" w:rsidR="00B3267B" w:rsidRDefault="00160982" w:rsidP="00B3267B">
      <w:pPr>
        <w:pStyle w:val="normal0"/>
        <w:numPr>
          <w:ilvl w:val="0"/>
          <w:numId w:val="10"/>
        </w:numPr>
        <w:contextualSpacing/>
      </w:pPr>
      <w:r>
        <w:t>Perhaps the biggest error in measurement instruction is the failure to recognize and separate two types of objectives: (p. 456)</w:t>
      </w:r>
    </w:p>
    <w:tbl>
      <w:tblPr>
        <w:tblStyle w:val="TableGrid"/>
        <w:tblW w:w="0" w:type="auto"/>
        <w:tblInd w:w="576" w:type="dxa"/>
        <w:tblLook w:val="04A0" w:firstRow="1" w:lastRow="0" w:firstColumn="1" w:lastColumn="0" w:noHBand="0" w:noVBand="1"/>
      </w:tblPr>
      <w:tblGrid>
        <w:gridCol w:w="8883"/>
      </w:tblGrid>
      <w:tr w:rsidR="00160982" w14:paraId="3E469A1E" w14:textId="77777777" w:rsidTr="00160982">
        <w:trPr>
          <w:trHeight w:val="263"/>
        </w:trPr>
        <w:tc>
          <w:tcPr>
            <w:tcW w:w="8883" w:type="dxa"/>
          </w:tcPr>
          <w:p w14:paraId="27032246" w14:textId="77777777" w:rsidR="00160982" w:rsidRDefault="00160982" w:rsidP="00160982">
            <w:pPr>
              <w:pStyle w:val="normal0"/>
              <w:contextualSpacing/>
            </w:pPr>
          </w:p>
        </w:tc>
      </w:tr>
      <w:tr w:rsidR="00160982" w14:paraId="6CB2DCD5" w14:textId="77777777" w:rsidTr="00160982">
        <w:trPr>
          <w:trHeight w:val="253"/>
        </w:trPr>
        <w:tc>
          <w:tcPr>
            <w:tcW w:w="8883" w:type="dxa"/>
          </w:tcPr>
          <w:p w14:paraId="35933DB3" w14:textId="77777777" w:rsidR="00160982" w:rsidRDefault="00160982" w:rsidP="00160982">
            <w:pPr>
              <w:pStyle w:val="normal0"/>
              <w:contextualSpacing/>
            </w:pPr>
          </w:p>
        </w:tc>
      </w:tr>
    </w:tbl>
    <w:p w14:paraId="728E1E4B" w14:textId="77777777" w:rsidR="006879E6" w:rsidRDefault="006879E6" w:rsidP="00B3267B">
      <w:pPr>
        <w:pStyle w:val="normal0"/>
        <w:ind w:left="360"/>
        <w:contextualSpacing/>
      </w:pPr>
    </w:p>
    <w:p w14:paraId="36DB63F2" w14:textId="6299DADC" w:rsidR="00160982" w:rsidRDefault="00160982" w:rsidP="00303AEF">
      <w:pPr>
        <w:pStyle w:val="normal0"/>
        <w:numPr>
          <w:ilvl w:val="0"/>
          <w:numId w:val="10"/>
        </w:numPr>
        <w:contextualSpacing/>
      </w:pPr>
      <w:r>
        <w:lastRenderedPageBreak/>
        <w:t>Teaching stand</w:t>
      </w:r>
      <w:r w:rsidR="008178F7">
        <w:t>ard</w:t>
      </w:r>
      <w:r>
        <w:t xml:space="preserve"> units of measurement can be organized around 3 broad goals: </w:t>
      </w:r>
    </w:p>
    <w:p w14:paraId="5F519A07" w14:textId="2CF4D545" w:rsidR="00160982" w:rsidRPr="00160982" w:rsidRDefault="00160982" w:rsidP="00160982">
      <w:pPr>
        <w:pStyle w:val="normal0"/>
        <w:contextualSpacing/>
        <w:rPr>
          <w:color w:val="3366FF"/>
        </w:rPr>
      </w:pPr>
      <w:r>
        <w:tab/>
      </w:r>
      <w:r w:rsidRPr="00160982">
        <w:rPr>
          <w:color w:val="3366FF"/>
        </w:rPr>
        <w:t>(Fill in the missing blanks from p. 456–457)</w:t>
      </w:r>
    </w:p>
    <w:tbl>
      <w:tblPr>
        <w:tblStyle w:val="TableGrid"/>
        <w:tblW w:w="0" w:type="auto"/>
        <w:tblInd w:w="576" w:type="dxa"/>
        <w:tblLook w:val="04A0" w:firstRow="1" w:lastRow="0" w:firstColumn="1" w:lastColumn="0" w:noHBand="0" w:noVBand="1"/>
      </w:tblPr>
      <w:tblGrid>
        <w:gridCol w:w="4500"/>
        <w:gridCol w:w="4500"/>
      </w:tblGrid>
      <w:tr w:rsidR="00160982" w14:paraId="2E6E7899" w14:textId="77777777" w:rsidTr="00160982">
        <w:trPr>
          <w:trHeight w:val="263"/>
        </w:trPr>
        <w:tc>
          <w:tcPr>
            <w:tcW w:w="4500" w:type="dxa"/>
            <w:shd w:val="clear" w:color="auto" w:fill="CCFFFF"/>
          </w:tcPr>
          <w:p w14:paraId="669226CA" w14:textId="5F154C3D" w:rsidR="00160982" w:rsidRDefault="00160982" w:rsidP="00160982">
            <w:pPr>
              <w:pStyle w:val="normal0"/>
              <w:contextualSpacing/>
              <w:jc w:val="center"/>
            </w:pPr>
            <w:r>
              <w:t>Broad Goal</w:t>
            </w:r>
          </w:p>
        </w:tc>
        <w:tc>
          <w:tcPr>
            <w:tcW w:w="4500" w:type="dxa"/>
            <w:shd w:val="clear" w:color="auto" w:fill="CCFFFF"/>
          </w:tcPr>
          <w:p w14:paraId="0FE71071" w14:textId="4DD844CD" w:rsidR="00160982" w:rsidRDefault="00160982" w:rsidP="00160982">
            <w:pPr>
              <w:pStyle w:val="normal0"/>
              <w:contextualSpacing/>
              <w:jc w:val="center"/>
            </w:pPr>
            <w:r>
              <w:t>Question to Accomplish the Goal</w:t>
            </w:r>
          </w:p>
        </w:tc>
      </w:tr>
      <w:tr w:rsidR="00160982" w14:paraId="3FF8D065" w14:textId="26B45234" w:rsidTr="00160982">
        <w:trPr>
          <w:trHeight w:val="263"/>
        </w:trPr>
        <w:tc>
          <w:tcPr>
            <w:tcW w:w="4500" w:type="dxa"/>
          </w:tcPr>
          <w:p w14:paraId="7EB34F5E" w14:textId="6A3C32A2" w:rsidR="00160982" w:rsidRDefault="00160982" w:rsidP="00160982">
            <w:pPr>
              <w:pStyle w:val="normal0"/>
              <w:contextualSpacing/>
            </w:pPr>
            <w:r>
              <w:t>Familiarity with the unit</w:t>
            </w:r>
          </w:p>
        </w:tc>
        <w:tc>
          <w:tcPr>
            <w:tcW w:w="4500" w:type="dxa"/>
          </w:tcPr>
          <w:p w14:paraId="6EC266A3" w14:textId="77777777" w:rsidR="00160982" w:rsidRDefault="00160982" w:rsidP="00160982">
            <w:pPr>
              <w:pStyle w:val="normal0"/>
              <w:contextualSpacing/>
            </w:pPr>
          </w:p>
        </w:tc>
      </w:tr>
      <w:tr w:rsidR="00160982" w14:paraId="36D5D822" w14:textId="32E85B93" w:rsidTr="00160982">
        <w:trPr>
          <w:trHeight w:val="253"/>
        </w:trPr>
        <w:tc>
          <w:tcPr>
            <w:tcW w:w="4500" w:type="dxa"/>
          </w:tcPr>
          <w:p w14:paraId="475F8749" w14:textId="77777777" w:rsidR="00160982" w:rsidRDefault="00160982" w:rsidP="00160982">
            <w:pPr>
              <w:pStyle w:val="normal0"/>
              <w:contextualSpacing/>
            </w:pPr>
          </w:p>
        </w:tc>
        <w:tc>
          <w:tcPr>
            <w:tcW w:w="4500" w:type="dxa"/>
          </w:tcPr>
          <w:p w14:paraId="170DE0A9" w14:textId="0A219B5C" w:rsidR="00160982" w:rsidRDefault="00160982" w:rsidP="00160982">
            <w:pPr>
              <w:pStyle w:val="normal0"/>
              <w:contextualSpacing/>
            </w:pPr>
            <w:r>
              <w:t>What is a reasonable measurement unit in a given situation and the required level of precision?</w:t>
            </w:r>
          </w:p>
        </w:tc>
      </w:tr>
      <w:tr w:rsidR="00160982" w14:paraId="2E0F4C10" w14:textId="0A706719" w:rsidTr="00160982">
        <w:trPr>
          <w:trHeight w:val="253"/>
        </w:trPr>
        <w:tc>
          <w:tcPr>
            <w:tcW w:w="4500" w:type="dxa"/>
          </w:tcPr>
          <w:p w14:paraId="44D1574F" w14:textId="5827A65C" w:rsidR="00160982" w:rsidRDefault="00160982" w:rsidP="00160982">
            <w:pPr>
              <w:pStyle w:val="normal0"/>
              <w:contextualSpacing/>
            </w:pPr>
            <w:r>
              <w:t>Knowledge of relationships between units</w:t>
            </w:r>
          </w:p>
        </w:tc>
        <w:tc>
          <w:tcPr>
            <w:tcW w:w="4500" w:type="dxa"/>
          </w:tcPr>
          <w:p w14:paraId="152FEA4C" w14:textId="77777777" w:rsidR="00160982" w:rsidRDefault="00160982" w:rsidP="00160982">
            <w:pPr>
              <w:pStyle w:val="normal0"/>
              <w:contextualSpacing/>
            </w:pPr>
          </w:p>
        </w:tc>
      </w:tr>
    </w:tbl>
    <w:p w14:paraId="0FE141AE" w14:textId="77777777" w:rsidR="00303AEF" w:rsidRDefault="00303AEF" w:rsidP="00303AEF">
      <w:pPr>
        <w:pStyle w:val="normal0"/>
        <w:contextualSpacing/>
      </w:pPr>
    </w:p>
    <w:p w14:paraId="75B6B5B5" w14:textId="77777777" w:rsidR="009824A6" w:rsidRDefault="00D3775C" w:rsidP="00AA67E4">
      <w:pPr>
        <w:pStyle w:val="normal0"/>
        <w:numPr>
          <w:ilvl w:val="0"/>
          <w:numId w:val="10"/>
        </w:numPr>
        <w:contextualSpacing/>
      </w:pPr>
      <w:r>
        <w:t xml:space="preserve">Watch </w:t>
      </w:r>
      <w:hyperlink r:id="rId9" w:history="1">
        <w:r w:rsidRPr="00160878">
          <w:rPr>
            <w:rStyle w:val="Hyperlink"/>
          </w:rPr>
          <w:t>https://www.youtube.com/watch?v=bWhWL1MET7A</w:t>
        </w:r>
      </w:hyperlink>
      <w:r>
        <w:t xml:space="preserve"> of a reading for the book </w:t>
      </w:r>
      <w:r w:rsidRPr="00D3775C">
        <w:rPr>
          <w:i/>
        </w:rPr>
        <w:t>How Big is a Foot</w:t>
      </w:r>
      <w:r>
        <w:t xml:space="preserve">, then look carefully at the grade 2 standards for Measurement and Data found at </w:t>
      </w:r>
      <w:hyperlink r:id="rId10" w:history="1">
        <w:r w:rsidRPr="00160878">
          <w:rPr>
            <w:rStyle w:val="Hyperlink"/>
          </w:rPr>
          <w:t>https://www.tn.gov/assets/entities/sbe/attachments/4-15-16_V_A_Math_Standards_Attachment.pdf</w:t>
        </w:r>
      </w:hyperlink>
      <w:r>
        <w:t>. Which</w:t>
      </w:r>
      <w:r w:rsidR="009824A6">
        <w:t xml:space="preserve"> standard(s) would you select for a lesson using this book? </w:t>
      </w:r>
    </w:p>
    <w:p w14:paraId="5A8D3F45" w14:textId="77777777" w:rsidR="009824A6" w:rsidRDefault="009824A6" w:rsidP="009824A6">
      <w:pPr>
        <w:pStyle w:val="normal0"/>
        <w:numPr>
          <w:ilvl w:val="0"/>
          <w:numId w:val="11"/>
        </w:numPr>
        <w:ind w:left="1080"/>
        <w:contextualSpacing/>
      </w:pPr>
      <w:r>
        <w:t>Copy the standard below:</w:t>
      </w:r>
    </w:p>
    <w:p w14:paraId="490DCFF3" w14:textId="77777777" w:rsidR="009824A6" w:rsidRDefault="009824A6" w:rsidP="009824A6">
      <w:pPr>
        <w:pStyle w:val="normal0"/>
        <w:contextualSpacing/>
      </w:pPr>
    </w:p>
    <w:p w14:paraId="31EF6822" w14:textId="77777777" w:rsidR="009824A6" w:rsidRDefault="009824A6" w:rsidP="009824A6">
      <w:pPr>
        <w:pStyle w:val="normal0"/>
        <w:contextualSpacing/>
      </w:pPr>
    </w:p>
    <w:p w14:paraId="1E2B357E" w14:textId="77C12DFA" w:rsidR="00AA67E4" w:rsidRDefault="009824A6" w:rsidP="009824A6">
      <w:pPr>
        <w:pStyle w:val="normal0"/>
        <w:numPr>
          <w:ilvl w:val="0"/>
          <w:numId w:val="11"/>
        </w:numPr>
        <w:ind w:left="1080"/>
        <w:contextualSpacing/>
      </w:pPr>
      <w:r>
        <w:t>Explain your reasoning for choosing that standard.</w:t>
      </w:r>
    </w:p>
    <w:p w14:paraId="74758BD4" w14:textId="77777777" w:rsidR="009824A6" w:rsidRDefault="009824A6" w:rsidP="009824A6">
      <w:pPr>
        <w:pStyle w:val="normal0"/>
        <w:contextualSpacing/>
      </w:pPr>
    </w:p>
    <w:p w14:paraId="475C1FAE" w14:textId="77777777" w:rsidR="00AA67E4" w:rsidRDefault="00AA67E4" w:rsidP="00AA67E4">
      <w:pPr>
        <w:pStyle w:val="normal0"/>
        <w:contextualSpacing/>
      </w:pPr>
    </w:p>
    <w:p w14:paraId="34EB671E" w14:textId="00D7B9B9" w:rsidR="007A2429" w:rsidRDefault="007A2429" w:rsidP="007A2429">
      <w:pPr>
        <w:pStyle w:val="normal0"/>
        <w:numPr>
          <w:ilvl w:val="0"/>
          <w:numId w:val="10"/>
        </w:numPr>
        <w:contextualSpacing/>
      </w:pPr>
      <w:r>
        <w:t>Always begin a measurement activity with students making an estimate. Describe the specific strategies for estimating measures. (Fill in the blanks using p. 459–460)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08"/>
        <w:gridCol w:w="4608"/>
      </w:tblGrid>
      <w:tr w:rsidR="007A2429" w14:paraId="1569E989" w14:textId="77777777" w:rsidTr="007A2429">
        <w:tc>
          <w:tcPr>
            <w:tcW w:w="4608" w:type="dxa"/>
            <w:shd w:val="clear" w:color="auto" w:fill="CCFFFF"/>
          </w:tcPr>
          <w:p w14:paraId="41688100" w14:textId="58E2C76E" w:rsidR="007A2429" w:rsidRDefault="007A2429" w:rsidP="007A2429">
            <w:pPr>
              <w:pStyle w:val="normal0"/>
              <w:contextualSpacing/>
              <w:jc w:val="center"/>
            </w:pPr>
            <w:r>
              <w:t>Strategy</w:t>
            </w:r>
          </w:p>
        </w:tc>
        <w:tc>
          <w:tcPr>
            <w:tcW w:w="4608" w:type="dxa"/>
            <w:shd w:val="clear" w:color="auto" w:fill="CCFFFF"/>
          </w:tcPr>
          <w:p w14:paraId="6129A348" w14:textId="0F09AA52" w:rsidR="007A2429" w:rsidRDefault="007A2429" w:rsidP="007A2429">
            <w:pPr>
              <w:pStyle w:val="normal0"/>
              <w:contextualSpacing/>
              <w:jc w:val="center"/>
            </w:pPr>
            <w:r>
              <w:t>Description</w:t>
            </w:r>
          </w:p>
        </w:tc>
      </w:tr>
      <w:tr w:rsidR="007A2429" w14:paraId="685781EA" w14:textId="77777777" w:rsidTr="007A2429">
        <w:tc>
          <w:tcPr>
            <w:tcW w:w="4608" w:type="dxa"/>
          </w:tcPr>
          <w:p w14:paraId="1B30E139" w14:textId="6EFCAEF1" w:rsidR="007A2429" w:rsidRDefault="007A2429" w:rsidP="00AA67E4">
            <w:pPr>
              <w:pStyle w:val="normal0"/>
              <w:contextualSpacing/>
            </w:pPr>
            <w:r>
              <w:t>Develop benchmark for referents</w:t>
            </w:r>
          </w:p>
        </w:tc>
        <w:tc>
          <w:tcPr>
            <w:tcW w:w="4608" w:type="dxa"/>
          </w:tcPr>
          <w:p w14:paraId="3D3D00E1" w14:textId="77777777" w:rsidR="007A2429" w:rsidRDefault="007A2429" w:rsidP="00AA67E4">
            <w:pPr>
              <w:pStyle w:val="normal0"/>
              <w:contextualSpacing/>
            </w:pPr>
          </w:p>
        </w:tc>
      </w:tr>
      <w:tr w:rsidR="007A2429" w14:paraId="054D391E" w14:textId="77777777" w:rsidTr="007A2429">
        <w:tc>
          <w:tcPr>
            <w:tcW w:w="4608" w:type="dxa"/>
          </w:tcPr>
          <w:p w14:paraId="001FE779" w14:textId="77777777" w:rsidR="007A2429" w:rsidRDefault="007A2429" w:rsidP="00AA67E4">
            <w:pPr>
              <w:pStyle w:val="normal0"/>
              <w:contextualSpacing/>
            </w:pPr>
          </w:p>
        </w:tc>
        <w:tc>
          <w:tcPr>
            <w:tcW w:w="4608" w:type="dxa"/>
          </w:tcPr>
          <w:p w14:paraId="62FFAAED" w14:textId="741B63C6" w:rsidR="007A2429" w:rsidRDefault="007A2429" w:rsidP="00AA67E4">
            <w:pPr>
              <w:pStyle w:val="normal0"/>
              <w:contextualSpacing/>
            </w:pPr>
            <w:r>
              <w:t>Using easier to calculate portions to estimate the whole</w:t>
            </w:r>
          </w:p>
        </w:tc>
      </w:tr>
      <w:tr w:rsidR="007A2429" w14:paraId="4D6B0A80" w14:textId="77777777" w:rsidTr="007A2429">
        <w:tc>
          <w:tcPr>
            <w:tcW w:w="4608" w:type="dxa"/>
          </w:tcPr>
          <w:p w14:paraId="7E94EECA" w14:textId="59CF9412" w:rsidR="007A2429" w:rsidRDefault="007A2429" w:rsidP="00AA67E4">
            <w:pPr>
              <w:pStyle w:val="normal0"/>
              <w:contextualSpacing/>
            </w:pPr>
            <w:r>
              <w:t>Iterate units</w:t>
            </w:r>
          </w:p>
        </w:tc>
        <w:tc>
          <w:tcPr>
            <w:tcW w:w="4608" w:type="dxa"/>
          </w:tcPr>
          <w:p w14:paraId="3299B2BF" w14:textId="77777777" w:rsidR="007A2429" w:rsidRDefault="007A2429" w:rsidP="00AA67E4">
            <w:pPr>
              <w:pStyle w:val="normal0"/>
              <w:contextualSpacing/>
            </w:pPr>
          </w:p>
        </w:tc>
      </w:tr>
    </w:tbl>
    <w:p w14:paraId="28C7C586" w14:textId="77777777" w:rsidR="00AA67E4" w:rsidRDefault="00AA67E4" w:rsidP="00AA67E4">
      <w:pPr>
        <w:pStyle w:val="normal0"/>
        <w:ind w:left="360"/>
        <w:contextualSpacing/>
      </w:pPr>
    </w:p>
    <w:p w14:paraId="09B4DA2B" w14:textId="750AB2C4" w:rsidR="00AA67E4" w:rsidRDefault="00707065" w:rsidP="00AA67E4">
      <w:pPr>
        <w:pStyle w:val="normal0"/>
        <w:numPr>
          <w:ilvl w:val="0"/>
          <w:numId w:val="10"/>
        </w:numPr>
        <w:contextualSpacing/>
      </w:pPr>
      <w:r>
        <w:t>List 3 common misconceptions students have about measuring length. (p. 461)</w:t>
      </w:r>
    </w:p>
    <w:tbl>
      <w:tblPr>
        <w:tblStyle w:val="TableGrid"/>
        <w:tblW w:w="0" w:type="auto"/>
        <w:tblInd w:w="576" w:type="dxa"/>
        <w:tblLook w:val="04A0" w:firstRow="1" w:lastRow="0" w:firstColumn="1" w:lastColumn="0" w:noHBand="0" w:noVBand="1"/>
      </w:tblPr>
      <w:tblGrid>
        <w:gridCol w:w="8883"/>
      </w:tblGrid>
      <w:tr w:rsidR="00707065" w14:paraId="5A17A739" w14:textId="77777777" w:rsidTr="00707065">
        <w:trPr>
          <w:trHeight w:val="263"/>
        </w:trPr>
        <w:tc>
          <w:tcPr>
            <w:tcW w:w="8883" w:type="dxa"/>
          </w:tcPr>
          <w:p w14:paraId="3678F9E5" w14:textId="77777777" w:rsidR="00707065" w:rsidRDefault="00707065" w:rsidP="00707065">
            <w:pPr>
              <w:pStyle w:val="normal0"/>
              <w:contextualSpacing/>
            </w:pPr>
          </w:p>
        </w:tc>
      </w:tr>
      <w:tr w:rsidR="00707065" w14:paraId="6BE6D0A8" w14:textId="77777777" w:rsidTr="00707065">
        <w:trPr>
          <w:trHeight w:val="253"/>
        </w:trPr>
        <w:tc>
          <w:tcPr>
            <w:tcW w:w="8883" w:type="dxa"/>
          </w:tcPr>
          <w:p w14:paraId="58771829" w14:textId="77777777" w:rsidR="00707065" w:rsidRDefault="00707065" w:rsidP="00707065">
            <w:pPr>
              <w:pStyle w:val="normal0"/>
              <w:contextualSpacing/>
            </w:pPr>
          </w:p>
        </w:tc>
      </w:tr>
      <w:tr w:rsidR="00707065" w14:paraId="7051F0A6" w14:textId="77777777" w:rsidTr="00707065">
        <w:trPr>
          <w:trHeight w:val="253"/>
        </w:trPr>
        <w:tc>
          <w:tcPr>
            <w:tcW w:w="8883" w:type="dxa"/>
          </w:tcPr>
          <w:p w14:paraId="10DFAF3A" w14:textId="77777777" w:rsidR="00707065" w:rsidRDefault="00707065" w:rsidP="00707065">
            <w:pPr>
              <w:pStyle w:val="normal0"/>
              <w:contextualSpacing/>
            </w:pPr>
          </w:p>
        </w:tc>
      </w:tr>
    </w:tbl>
    <w:p w14:paraId="3A817551" w14:textId="77777777" w:rsidR="00707065" w:rsidRDefault="00707065" w:rsidP="00707065">
      <w:pPr>
        <w:pStyle w:val="normal0"/>
        <w:contextualSpacing/>
      </w:pPr>
    </w:p>
    <w:p w14:paraId="31635791" w14:textId="4B232A6B" w:rsidR="00136027" w:rsidRPr="00136027" w:rsidRDefault="00136027" w:rsidP="00707065">
      <w:pPr>
        <w:pStyle w:val="normal0"/>
        <w:contextualSpacing/>
        <w:rPr>
          <w:i/>
        </w:rPr>
      </w:pPr>
      <w:r w:rsidRPr="00136027">
        <w:rPr>
          <w:i/>
        </w:rPr>
        <w:t>Conversion</w:t>
      </w:r>
    </w:p>
    <w:p w14:paraId="505F1792" w14:textId="6340E8FF" w:rsidR="00303AEF" w:rsidRDefault="00707065" w:rsidP="00303AEF">
      <w:pPr>
        <w:pStyle w:val="normal0"/>
        <w:numPr>
          <w:ilvl w:val="0"/>
          <w:numId w:val="10"/>
        </w:numPr>
        <w:contextualSpacing/>
      </w:pPr>
      <w:r>
        <w:t>Larger units will produce a __</w:t>
      </w:r>
      <w:r w:rsidR="00CC3FBA">
        <w:t xml:space="preserve">_________ measure; </w:t>
      </w:r>
      <w:proofErr w:type="gramStart"/>
      <w:r w:rsidR="00136027">
        <w:t>Smaller</w:t>
      </w:r>
      <w:proofErr w:type="gramEnd"/>
      <w:r w:rsidR="00136027">
        <w:t xml:space="preserve"> unit</w:t>
      </w:r>
      <w:r>
        <w:t>s will produce a __________ measure</w:t>
      </w:r>
      <w:r w:rsidR="00136027">
        <w:t>. (p. 464–465)</w:t>
      </w:r>
    </w:p>
    <w:p w14:paraId="58621C92" w14:textId="46EEE1C8" w:rsidR="00136027" w:rsidRDefault="00136027" w:rsidP="00136027">
      <w:pPr>
        <w:pStyle w:val="normal0"/>
        <w:contextualSpacing/>
      </w:pPr>
      <w:r>
        <w:t>Explain why this is true:</w:t>
      </w:r>
    </w:p>
    <w:p w14:paraId="518C8570" w14:textId="77777777" w:rsidR="00AA67E4" w:rsidRDefault="00AA67E4" w:rsidP="00AA67E4">
      <w:pPr>
        <w:pStyle w:val="normal0"/>
        <w:contextualSpacing/>
      </w:pPr>
    </w:p>
    <w:p w14:paraId="7E94A52F" w14:textId="77777777" w:rsidR="00136027" w:rsidRDefault="00136027" w:rsidP="00AA67E4">
      <w:pPr>
        <w:pStyle w:val="normal0"/>
        <w:contextualSpacing/>
      </w:pPr>
    </w:p>
    <w:p w14:paraId="705B99AB" w14:textId="6DC0DC35" w:rsidR="00136027" w:rsidRDefault="00136027" w:rsidP="00303AEF">
      <w:pPr>
        <w:pStyle w:val="normal0"/>
        <w:numPr>
          <w:ilvl w:val="0"/>
          <w:numId w:val="10"/>
        </w:numPr>
        <w:contextualSpacing/>
      </w:pPr>
      <w:r>
        <w:t xml:space="preserve">What it is the benefit to students of creating their own rulers with numbers </w:t>
      </w:r>
      <w:r w:rsidR="0018009F">
        <w:t xml:space="preserve">centered </w:t>
      </w:r>
      <w:r>
        <w:t>on the individual units before using standard rulers with numbers on the hash marks?</w:t>
      </w:r>
      <w:r w:rsidR="00C8636F">
        <w:t xml:space="preserve"> </w:t>
      </w:r>
    </w:p>
    <w:p w14:paraId="4946E90B" w14:textId="0523163B" w:rsidR="00AA67E4" w:rsidRDefault="00C8636F" w:rsidP="00136027">
      <w:pPr>
        <w:pStyle w:val="normal0"/>
        <w:ind w:left="360"/>
        <w:contextualSpacing/>
      </w:pPr>
      <w:r>
        <w:t xml:space="preserve">(p. </w:t>
      </w:r>
      <w:r w:rsidR="00136027">
        <w:t>466–467; Figure 19.5</w:t>
      </w:r>
      <w:r>
        <w:t>)</w:t>
      </w:r>
    </w:p>
    <w:p w14:paraId="6631EB3F" w14:textId="77777777" w:rsidR="00C8636F" w:rsidRDefault="00C8636F" w:rsidP="00C8636F">
      <w:pPr>
        <w:pStyle w:val="normal0"/>
        <w:contextualSpacing/>
      </w:pPr>
    </w:p>
    <w:p w14:paraId="2791F3A9" w14:textId="77777777" w:rsidR="00136027" w:rsidRDefault="00136027" w:rsidP="00C8636F">
      <w:pPr>
        <w:pStyle w:val="normal0"/>
        <w:contextualSpacing/>
      </w:pPr>
    </w:p>
    <w:p w14:paraId="6BD5051C" w14:textId="2DA93F28" w:rsidR="00C8636F" w:rsidRPr="0036045D" w:rsidRDefault="0036045D" w:rsidP="00303AEF">
      <w:pPr>
        <w:pStyle w:val="normal0"/>
        <w:numPr>
          <w:ilvl w:val="0"/>
          <w:numId w:val="10"/>
        </w:numPr>
        <w:contextualSpacing/>
        <w:rPr>
          <w:i/>
        </w:rPr>
      </w:pPr>
      <w:r>
        <w:lastRenderedPageBreak/>
        <w:t xml:space="preserve">Create 2 different animals using PBS Kids </w:t>
      </w:r>
      <w:proofErr w:type="spellStart"/>
      <w:r>
        <w:t>Cyberchase</w:t>
      </w:r>
      <w:proofErr w:type="spellEnd"/>
      <w:r>
        <w:t xml:space="preserve"> website </w:t>
      </w:r>
      <w:hyperlink r:id="rId11" w:history="1">
        <w:r w:rsidRPr="00160878">
          <w:rPr>
            <w:rStyle w:val="Hyperlink"/>
          </w:rPr>
          <w:t>http://pbskids.org/cyberchase/media/games/area/</w:t>
        </w:r>
      </w:hyperlink>
      <w:r>
        <w:t>. Take a screen shot and post your 2 animal creations below.</w:t>
      </w:r>
    </w:p>
    <w:p w14:paraId="23988814" w14:textId="77777777" w:rsidR="0036045D" w:rsidRDefault="0036045D" w:rsidP="0036045D">
      <w:pPr>
        <w:pStyle w:val="normal0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6045D" w14:paraId="7D2BCFDD" w14:textId="77777777" w:rsidTr="0036045D">
        <w:tc>
          <w:tcPr>
            <w:tcW w:w="4788" w:type="dxa"/>
            <w:shd w:val="clear" w:color="auto" w:fill="CCFFFF"/>
          </w:tcPr>
          <w:p w14:paraId="0D3E7326" w14:textId="16396989" w:rsidR="0036045D" w:rsidRPr="0036045D" w:rsidRDefault="0036045D" w:rsidP="0036045D">
            <w:pPr>
              <w:pStyle w:val="normal0"/>
              <w:contextualSpacing/>
              <w:jc w:val="center"/>
            </w:pPr>
            <w:r w:rsidRPr="0036045D">
              <w:t>Animal 1</w:t>
            </w:r>
          </w:p>
        </w:tc>
        <w:tc>
          <w:tcPr>
            <w:tcW w:w="4788" w:type="dxa"/>
            <w:shd w:val="clear" w:color="auto" w:fill="CCFFFF"/>
          </w:tcPr>
          <w:p w14:paraId="2FD4436F" w14:textId="33926B7C" w:rsidR="0036045D" w:rsidRPr="0036045D" w:rsidRDefault="0036045D" w:rsidP="0036045D">
            <w:pPr>
              <w:pStyle w:val="normal0"/>
              <w:contextualSpacing/>
              <w:jc w:val="center"/>
            </w:pPr>
            <w:r w:rsidRPr="0036045D">
              <w:t>Animal 2</w:t>
            </w:r>
          </w:p>
        </w:tc>
      </w:tr>
      <w:tr w:rsidR="0036045D" w14:paraId="7787223D" w14:textId="77777777" w:rsidTr="0036045D">
        <w:tc>
          <w:tcPr>
            <w:tcW w:w="4788" w:type="dxa"/>
          </w:tcPr>
          <w:p w14:paraId="13324F2A" w14:textId="77777777" w:rsidR="0036045D" w:rsidRDefault="0036045D" w:rsidP="0036045D">
            <w:pPr>
              <w:pStyle w:val="normal0"/>
              <w:contextualSpacing/>
            </w:pPr>
          </w:p>
          <w:p w14:paraId="14D2499F" w14:textId="77777777" w:rsidR="0036045D" w:rsidRPr="0036045D" w:rsidRDefault="0036045D" w:rsidP="0036045D">
            <w:pPr>
              <w:pStyle w:val="normal0"/>
              <w:contextualSpacing/>
            </w:pPr>
          </w:p>
        </w:tc>
        <w:tc>
          <w:tcPr>
            <w:tcW w:w="4788" w:type="dxa"/>
          </w:tcPr>
          <w:p w14:paraId="625F27CF" w14:textId="77777777" w:rsidR="0036045D" w:rsidRDefault="0036045D" w:rsidP="0036045D">
            <w:pPr>
              <w:pStyle w:val="normal0"/>
              <w:contextualSpacing/>
              <w:rPr>
                <w:i/>
              </w:rPr>
            </w:pPr>
          </w:p>
        </w:tc>
      </w:tr>
    </w:tbl>
    <w:p w14:paraId="50E8BDD8" w14:textId="77777777" w:rsidR="0036045D" w:rsidRDefault="0036045D" w:rsidP="0036045D">
      <w:pPr>
        <w:pStyle w:val="normal0"/>
        <w:contextualSpacing/>
        <w:rPr>
          <w:i/>
        </w:rPr>
      </w:pPr>
    </w:p>
    <w:p w14:paraId="0C13ACF1" w14:textId="112C6C7C" w:rsidR="0036045D" w:rsidRDefault="0036045D" w:rsidP="0036045D">
      <w:pPr>
        <w:pStyle w:val="normal0"/>
        <w:contextualSpacing/>
      </w:pPr>
      <w:r>
        <w:t>How do explorations with tangrams help students understand area?</w:t>
      </w:r>
    </w:p>
    <w:p w14:paraId="69DE533E" w14:textId="529966C5" w:rsidR="0036045D" w:rsidRDefault="00C40D1C" w:rsidP="0036045D">
      <w:pPr>
        <w:pStyle w:val="normal0"/>
        <w:contextualSpacing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56656D" wp14:editId="62087BA4">
            <wp:simplePos x="0" y="0"/>
            <wp:positionH relativeFrom="column">
              <wp:posOffset>5029200</wp:posOffset>
            </wp:positionH>
            <wp:positionV relativeFrom="paragraph">
              <wp:posOffset>104775</wp:posOffset>
            </wp:positionV>
            <wp:extent cx="1322070" cy="990600"/>
            <wp:effectExtent l="0" t="0" r="0" b="0"/>
            <wp:wrapSquare wrapText="bothSides"/>
            <wp:docPr id="1" name="Picture 1" descr="BART207-MBP:private:var:folders:lj:1y9yx9vs60j9vrmjcv0ql3yrf47s7v:T:TemporaryItems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T207-MBP:private:var:folders:lj:1y9yx9vs60j9vrmjcv0ql3yrf47s7v:T:TemporaryItems:image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07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4A874B" w14:textId="752CCBF5" w:rsidR="0036045D" w:rsidRPr="0036045D" w:rsidRDefault="00C40D1C" w:rsidP="0036045D">
      <w:pPr>
        <w:pStyle w:val="normal0"/>
        <w:numPr>
          <w:ilvl w:val="0"/>
          <w:numId w:val="10"/>
        </w:numPr>
        <w:contextualSpacing/>
      </w:pPr>
      <w:r>
        <w:t xml:space="preserve">Using the figure to the right as an example, explain </w:t>
      </w:r>
      <w:r w:rsidRPr="00C40D1C">
        <w:rPr>
          <w:b/>
          <w:highlight w:val="yellow"/>
        </w:rPr>
        <w:t xml:space="preserve">to a </w:t>
      </w:r>
      <w:r>
        <w:rPr>
          <w:b/>
          <w:highlight w:val="yellow"/>
        </w:rPr>
        <w:t>4</w:t>
      </w:r>
      <w:r w:rsidRPr="00C40D1C">
        <w:rPr>
          <w:b/>
          <w:highlight w:val="yellow"/>
          <w:vertAlign w:val="superscript"/>
        </w:rPr>
        <w:t>th</w:t>
      </w:r>
      <w:r>
        <w:rPr>
          <w:b/>
          <w:highlight w:val="yellow"/>
        </w:rPr>
        <w:t xml:space="preserve"> grade </w:t>
      </w:r>
      <w:r w:rsidRPr="00C40D1C">
        <w:rPr>
          <w:b/>
          <w:highlight w:val="yellow"/>
        </w:rPr>
        <w:t>student</w:t>
      </w:r>
      <w:r>
        <w:t xml:space="preserve"> the definitions for area and perimeter. </w:t>
      </w:r>
    </w:p>
    <w:p w14:paraId="241AB544" w14:textId="16BE8BBD" w:rsidR="00C8636F" w:rsidRDefault="00C8636F" w:rsidP="00C8636F">
      <w:pPr>
        <w:pStyle w:val="normal0"/>
        <w:ind w:left="360"/>
        <w:contextualSpacing/>
      </w:pPr>
    </w:p>
    <w:p w14:paraId="47FB5DBB" w14:textId="77777777" w:rsidR="004641D2" w:rsidRDefault="004641D2" w:rsidP="00B3267B">
      <w:pPr>
        <w:pStyle w:val="normal0"/>
        <w:ind w:left="360"/>
        <w:contextualSpacing/>
      </w:pPr>
    </w:p>
    <w:p w14:paraId="7C20AF8B" w14:textId="77777777" w:rsidR="00C40D1C" w:rsidRDefault="00C40D1C" w:rsidP="00B3267B">
      <w:pPr>
        <w:pStyle w:val="normal0"/>
        <w:ind w:left="360"/>
        <w:contextualSpacing/>
      </w:pPr>
    </w:p>
    <w:p w14:paraId="0CFB6681" w14:textId="77777777" w:rsidR="00C40D1C" w:rsidRDefault="00C40D1C" w:rsidP="00B3267B">
      <w:pPr>
        <w:pStyle w:val="normal0"/>
        <w:ind w:left="360"/>
        <w:contextualSpacing/>
      </w:pPr>
    </w:p>
    <w:p w14:paraId="239811D8" w14:textId="77777777" w:rsidR="00C40D1C" w:rsidRPr="00C40D1C" w:rsidRDefault="00C40D1C" w:rsidP="00B3267B">
      <w:pPr>
        <w:pStyle w:val="normal0"/>
        <w:ind w:left="360"/>
        <w:contextualSpacing/>
      </w:pPr>
    </w:p>
    <w:p w14:paraId="1BA7867B" w14:textId="77777777" w:rsidR="003B6BB4" w:rsidRDefault="003B6BB4" w:rsidP="00DA7071">
      <w:pPr>
        <w:pStyle w:val="normal0"/>
        <w:ind w:left="360"/>
        <w:contextualSpacing/>
        <w:rPr>
          <w:i/>
        </w:rPr>
      </w:pPr>
    </w:p>
    <w:p w14:paraId="04DECF90" w14:textId="31DF590B" w:rsidR="003B6BB4" w:rsidRDefault="0012552B" w:rsidP="003B6BB4">
      <w:pPr>
        <w:pStyle w:val="normal0"/>
        <w:numPr>
          <w:ilvl w:val="0"/>
          <w:numId w:val="10"/>
        </w:numPr>
        <w:contextualSpacing/>
      </w:pPr>
      <w:r>
        <w:t xml:space="preserve">Students may have misconceptions about area formulas such as, </w:t>
      </w:r>
      <w:r w:rsidRPr="0012552B">
        <w:rPr>
          <w:b/>
        </w:rPr>
        <w:t>confusing linear and square units</w:t>
      </w:r>
      <w:r>
        <w:t xml:space="preserve"> and </w:t>
      </w:r>
      <w:r w:rsidRPr="0012552B">
        <w:rPr>
          <w:b/>
        </w:rPr>
        <w:t>difficulty in conceptualizing the meaning of height and base</w:t>
      </w:r>
      <w:r>
        <w:t xml:space="preserve">. By providing opportunities for students to </w:t>
      </w:r>
      <w:r w:rsidRPr="0012552B">
        <w:rPr>
          <w:color w:val="3366FF"/>
        </w:rPr>
        <w:t>_____________</w:t>
      </w:r>
      <w:r>
        <w:t xml:space="preserve"> formulas through inquiry based projects rather than providing formulas initially, they gain conceptual understanding of the ideas and relationships involved, and they engage in “doing mathematics.” (p. 472)</w:t>
      </w:r>
    </w:p>
    <w:p w14:paraId="7594AA1A" w14:textId="77777777" w:rsidR="00044208" w:rsidRDefault="00044208" w:rsidP="00044208">
      <w:pPr>
        <w:pStyle w:val="normal0"/>
        <w:contextualSpacing/>
      </w:pPr>
    </w:p>
    <w:p w14:paraId="5F38470F" w14:textId="773547FD" w:rsidR="0012552B" w:rsidRDefault="000A75C1" w:rsidP="003B6BB4">
      <w:pPr>
        <w:pStyle w:val="normal0"/>
        <w:numPr>
          <w:ilvl w:val="0"/>
          <w:numId w:val="10"/>
        </w:numPr>
        <w:contextualSpacing/>
      </w:pPr>
      <w:r>
        <w:t>Read the Measurement and Data section from the grade 3, 4, and 5 TN Math Standards coversheets (p. 35, 45, and 55). Fill in the basic expectations for each gr</w:t>
      </w:r>
      <w:r w:rsidR="00044208">
        <w:t xml:space="preserve">ade level in connection to area, </w:t>
      </w:r>
      <w:r>
        <w:t>perimeter</w:t>
      </w:r>
      <w:r w:rsidR="00044208">
        <w:t>, and volume</w:t>
      </w:r>
      <w:r>
        <w:t xml:space="preserve"> in the table below.</w:t>
      </w:r>
    </w:p>
    <w:p w14:paraId="71312F24" w14:textId="77777777" w:rsidR="000A75C1" w:rsidRDefault="000A75C1" w:rsidP="000A75C1">
      <w:pPr>
        <w:pStyle w:val="normal0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"/>
        <w:gridCol w:w="8748"/>
      </w:tblGrid>
      <w:tr w:rsidR="000A75C1" w14:paraId="015B5BD2" w14:textId="77777777" w:rsidTr="000A75C1">
        <w:tc>
          <w:tcPr>
            <w:tcW w:w="828" w:type="dxa"/>
            <w:shd w:val="clear" w:color="auto" w:fill="CCFFFF"/>
          </w:tcPr>
          <w:p w14:paraId="78957804" w14:textId="434A7E38" w:rsidR="000A75C1" w:rsidRDefault="000A75C1" w:rsidP="000A75C1">
            <w:pPr>
              <w:pStyle w:val="normal0"/>
              <w:contextualSpacing/>
              <w:jc w:val="center"/>
            </w:pPr>
            <w:r>
              <w:t>Grade Level</w:t>
            </w:r>
          </w:p>
        </w:tc>
        <w:tc>
          <w:tcPr>
            <w:tcW w:w="8748" w:type="dxa"/>
            <w:shd w:val="clear" w:color="auto" w:fill="CCFFFF"/>
          </w:tcPr>
          <w:p w14:paraId="192A285E" w14:textId="4EA2B692" w:rsidR="000A75C1" w:rsidRDefault="00044208" w:rsidP="00044208">
            <w:pPr>
              <w:pStyle w:val="normal0"/>
              <w:contextualSpacing/>
              <w:jc w:val="center"/>
            </w:pPr>
            <w:r>
              <w:t xml:space="preserve">Expectations connected to Area, </w:t>
            </w:r>
            <w:r w:rsidR="000A75C1">
              <w:t>Perimeter</w:t>
            </w:r>
            <w:r>
              <w:t>, and Volume</w:t>
            </w:r>
          </w:p>
        </w:tc>
      </w:tr>
      <w:tr w:rsidR="000A75C1" w14:paraId="3C257ACE" w14:textId="77777777" w:rsidTr="000A75C1">
        <w:tc>
          <w:tcPr>
            <w:tcW w:w="828" w:type="dxa"/>
          </w:tcPr>
          <w:p w14:paraId="28DE2736" w14:textId="75033174" w:rsidR="000A75C1" w:rsidRDefault="000A75C1" w:rsidP="000A75C1">
            <w:pPr>
              <w:pStyle w:val="normal0"/>
              <w:contextualSpacing/>
              <w:jc w:val="center"/>
            </w:pPr>
            <w:r>
              <w:t>3</w:t>
            </w:r>
          </w:p>
        </w:tc>
        <w:tc>
          <w:tcPr>
            <w:tcW w:w="8748" w:type="dxa"/>
          </w:tcPr>
          <w:p w14:paraId="6D9304A1" w14:textId="77777777" w:rsidR="000A75C1" w:rsidRDefault="000A75C1" w:rsidP="000A75C1">
            <w:pPr>
              <w:pStyle w:val="normal0"/>
              <w:contextualSpacing/>
            </w:pPr>
          </w:p>
        </w:tc>
      </w:tr>
      <w:tr w:rsidR="000A75C1" w14:paraId="3C9B61F2" w14:textId="77777777" w:rsidTr="000A75C1">
        <w:tc>
          <w:tcPr>
            <w:tcW w:w="828" w:type="dxa"/>
          </w:tcPr>
          <w:p w14:paraId="04E4F8B2" w14:textId="70EFB520" w:rsidR="000A75C1" w:rsidRDefault="000A75C1" w:rsidP="000A75C1">
            <w:pPr>
              <w:pStyle w:val="normal0"/>
              <w:contextualSpacing/>
              <w:jc w:val="center"/>
            </w:pPr>
            <w:r>
              <w:t>4</w:t>
            </w:r>
          </w:p>
        </w:tc>
        <w:tc>
          <w:tcPr>
            <w:tcW w:w="8748" w:type="dxa"/>
          </w:tcPr>
          <w:p w14:paraId="5F257F8E" w14:textId="77777777" w:rsidR="000A75C1" w:rsidRDefault="000A75C1" w:rsidP="000A75C1">
            <w:pPr>
              <w:pStyle w:val="normal0"/>
              <w:contextualSpacing/>
            </w:pPr>
          </w:p>
        </w:tc>
      </w:tr>
      <w:tr w:rsidR="000A75C1" w14:paraId="67F5299E" w14:textId="77777777" w:rsidTr="000A75C1">
        <w:tc>
          <w:tcPr>
            <w:tcW w:w="828" w:type="dxa"/>
          </w:tcPr>
          <w:p w14:paraId="30096851" w14:textId="3F13AF19" w:rsidR="000A75C1" w:rsidRDefault="000A75C1" w:rsidP="000A75C1">
            <w:pPr>
              <w:pStyle w:val="normal0"/>
              <w:contextualSpacing/>
              <w:jc w:val="center"/>
            </w:pPr>
            <w:r>
              <w:t>5</w:t>
            </w:r>
          </w:p>
        </w:tc>
        <w:tc>
          <w:tcPr>
            <w:tcW w:w="8748" w:type="dxa"/>
          </w:tcPr>
          <w:p w14:paraId="73F3B860" w14:textId="77777777" w:rsidR="000A75C1" w:rsidRDefault="000A75C1" w:rsidP="000A75C1">
            <w:pPr>
              <w:pStyle w:val="normal0"/>
              <w:contextualSpacing/>
            </w:pPr>
          </w:p>
        </w:tc>
      </w:tr>
    </w:tbl>
    <w:p w14:paraId="12BD3269" w14:textId="77777777" w:rsidR="000A75C1" w:rsidRDefault="000A75C1" w:rsidP="000A75C1">
      <w:pPr>
        <w:pStyle w:val="normal0"/>
        <w:contextualSpacing/>
      </w:pPr>
    </w:p>
    <w:p w14:paraId="27DD0ADC" w14:textId="6EDDBC62" w:rsidR="0042499C" w:rsidRDefault="0042499C" w:rsidP="0042499C">
      <w:pPr>
        <w:pStyle w:val="normal0"/>
        <w:numPr>
          <w:ilvl w:val="0"/>
          <w:numId w:val="10"/>
        </w:numPr>
        <w:contextualSpacing/>
      </w:pPr>
      <w:r>
        <w:t>How can a rational number wheel as described on p. 483 (and found in Ch. 17; Figure 17.5) be used to build skills need</w:t>
      </w:r>
      <w:r w:rsidR="00F97020">
        <w:t>ed</w:t>
      </w:r>
      <w:r>
        <w:t xml:space="preserve"> for measuring angles? </w:t>
      </w:r>
      <w:bookmarkStart w:id="0" w:name="_GoBack"/>
      <w:bookmarkEnd w:id="0"/>
    </w:p>
    <w:p w14:paraId="25E1B531" w14:textId="77777777" w:rsidR="00B92BD2" w:rsidRDefault="00B92BD2" w:rsidP="00B92BD2">
      <w:pPr>
        <w:pStyle w:val="normal0"/>
        <w:contextualSpacing/>
      </w:pPr>
    </w:p>
    <w:p w14:paraId="1597309D" w14:textId="77777777" w:rsidR="00B92BD2" w:rsidRDefault="00B92BD2" w:rsidP="0042499C">
      <w:pPr>
        <w:pStyle w:val="normal0"/>
        <w:numPr>
          <w:ilvl w:val="0"/>
          <w:numId w:val="10"/>
        </w:numPr>
        <w:contextualSpacing/>
      </w:pPr>
      <w:r>
        <w:t xml:space="preserve">How can a number line be used to support students learning about elapsed time? </w:t>
      </w:r>
    </w:p>
    <w:p w14:paraId="19007526" w14:textId="6430A7D0" w:rsidR="00B92BD2" w:rsidRDefault="00B92BD2" w:rsidP="00B92BD2">
      <w:pPr>
        <w:pStyle w:val="normal0"/>
        <w:ind w:left="360"/>
        <w:contextualSpacing/>
      </w:pPr>
      <w:r>
        <w:t>(p. 484–485)</w:t>
      </w:r>
    </w:p>
    <w:p w14:paraId="39A2B9EB" w14:textId="77777777" w:rsidR="00B92BD2" w:rsidRDefault="00B92BD2" w:rsidP="00B92BD2">
      <w:pPr>
        <w:pStyle w:val="normal0"/>
        <w:ind w:left="360"/>
        <w:contextualSpacing/>
      </w:pPr>
    </w:p>
    <w:p w14:paraId="32C340AB" w14:textId="77777777" w:rsidR="00B92BD2" w:rsidRDefault="00B92BD2" w:rsidP="00B92BD2">
      <w:pPr>
        <w:pStyle w:val="normal0"/>
        <w:ind w:left="360"/>
        <w:contextualSpacing/>
      </w:pPr>
    </w:p>
    <w:p w14:paraId="2D4F75D2" w14:textId="77777777" w:rsidR="00B92BD2" w:rsidRDefault="00B92BD2" w:rsidP="0042499C">
      <w:pPr>
        <w:pStyle w:val="normal0"/>
        <w:numPr>
          <w:ilvl w:val="0"/>
          <w:numId w:val="10"/>
        </w:numPr>
        <w:contextualSpacing/>
      </w:pPr>
      <w:r>
        <w:t xml:space="preserve">How is the “think addition” strategy for subtraction useful for making change? </w:t>
      </w:r>
    </w:p>
    <w:p w14:paraId="0F525818" w14:textId="5C67CFAE" w:rsidR="00B92BD2" w:rsidRDefault="00B92BD2" w:rsidP="00B92BD2">
      <w:pPr>
        <w:pStyle w:val="normal0"/>
        <w:ind w:left="360"/>
        <w:contextualSpacing/>
      </w:pPr>
      <w:r>
        <w:t>(p. 486 and p. 176)</w:t>
      </w:r>
    </w:p>
    <w:p w14:paraId="6477CE77" w14:textId="77777777" w:rsidR="0042499C" w:rsidRDefault="0042499C" w:rsidP="0042499C">
      <w:pPr>
        <w:pStyle w:val="normal0"/>
        <w:contextualSpacing/>
      </w:pPr>
    </w:p>
    <w:sectPr w:rsidR="0042499C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147F9" w14:textId="77777777" w:rsidR="00653523" w:rsidRDefault="00653523">
      <w:pPr>
        <w:spacing w:line="240" w:lineRule="auto"/>
      </w:pPr>
      <w:r>
        <w:separator/>
      </w:r>
    </w:p>
  </w:endnote>
  <w:endnote w:type="continuationSeparator" w:id="0">
    <w:p w14:paraId="311F2BF0" w14:textId="77777777" w:rsidR="00653523" w:rsidRDefault="006535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9C4E2" w14:textId="77777777" w:rsidR="00653523" w:rsidRDefault="00653523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F97020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F1ACD" w14:textId="77777777" w:rsidR="00653523" w:rsidRDefault="00653523">
    <w:pPr>
      <w:pStyle w:val="normal0"/>
    </w:pPr>
    <w:r>
      <w:fldChar w:fldCharType="begin"/>
    </w:r>
    <w:r>
      <w:instrText>PAGE</w:instrText>
    </w:r>
    <w:r>
      <w:fldChar w:fldCharType="separate"/>
    </w:r>
    <w:r w:rsidR="00F97020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313EB" w14:textId="77777777" w:rsidR="00653523" w:rsidRDefault="00653523">
      <w:pPr>
        <w:spacing w:line="240" w:lineRule="auto"/>
      </w:pPr>
      <w:r>
        <w:separator/>
      </w:r>
    </w:p>
  </w:footnote>
  <w:footnote w:type="continuationSeparator" w:id="0">
    <w:p w14:paraId="40CC565A" w14:textId="77777777" w:rsidR="00653523" w:rsidRDefault="006535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C764E" w14:textId="77777777" w:rsidR="00653523" w:rsidRDefault="00653523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6CA7E" w14:textId="77777777" w:rsidR="00653523" w:rsidRDefault="00653523">
    <w:pPr>
      <w:pStyle w:val="normal0"/>
    </w:pPr>
  </w:p>
  <w:p w14:paraId="44C2F90C" w14:textId="77777777" w:rsidR="00653523" w:rsidRDefault="00653523">
    <w:pPr>
      <w:pStyle w:val="normal0"/>
    </w:pPr>
    <w:r>
      <w:t>Name _____________________________________</w:t>
    </w:r>
  </w:p>
  <w:p w14:paraId="06D920D2" w14:textId="77777777" w:rsidR="00653523" w:rsidRDefault="00653523">
    <w:pPr>
      <w:pStyle w:val="normal0"/>
    </w:pPr>
  </w:p>
  <w:p w14:paraId="52CCDB80" w14:textId="77777777" w:rsidR="00653523" w:rsidRDefault="00653523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2C4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E6B4112"/>
    <w:multiLevelType w:val="hybridMultilevel"/>
    <w:tmpl w:val="0BB0D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D18E8"/>
    <w:multiLevelType w:val="hybridMultilevel"/>
    <w:tmpl w:val="8A3A610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20B502EC"/>
    <w:multiLevelType w:val="multilevel"/>
    <w:tmpl w:val="53462514"/>
    <w:lvl w:ilvl="0">
      <w:start w:val="4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39F10858"/>
    <w:multiLevelType w:val="hybridMultilevel"/>
    <w:tmpl w:val="8520B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23A4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44A81280"/>
    <w:multiLevelType w:val="multilevel"/>
    <w:tmpl w:val="53462514"/>
    <w:lvl w:ilvl="0">
      <w:start w:val="7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55240C0F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5B022CB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6543162B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>
    <w:nsid w:val="65A11501"/>
    <w:multiLevelType w:val="multilevel"/>
    <w:tmpl w:val="53462514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1">
    <w:nsid w:val="6D7C76E4"/>
    <w:multiLevelType w:val="hybridMultilevel"/>
    <w:tmpl w:val="0BB0DC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B5F31"/>
    <w:multiLevelType w:val="hybridMultilevel"/>
    <w:tmpl w:val="621C58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8F5735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4">
    <w:nsid w:val="76283A4E"/>
    <w:multiLevelType w:val="hybridMultilevel"/>
    <w:tmpl w:val="4FD644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10"/>
  </w:num>
  <w:num w:numId="5">
    <w:abstractNumId w:val="0"/>
  </w:num>
  <w:num w:numId="6">
    <w:abstractNumId w:val="5"/>
  </w:num>
  <w:num w:numId="7">
    <w:abstractNumId w:val="9"/>
  </w:num>
  <w:num w:numId="8">
    <w:abstractNumId w:val="3"/>
  </w:num>
  <w:num w:numId="9">
    <w:abstractNumId w:val="6"/>
  </w:num>
  <w:num w:numId="10">
    <w:abstractNumId w:val="11"/>
  </w:num>
  <w:num w:numId="11">
    <w:abstractNumId w:val="14"/>
  </w:num>
  <w:num w:numId="12">
    <w:abstractNumId w:val="4"/>
  </w:num>
  <w:num w:numId="13">
    <w:abstractNumId w:val="1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131A"/>
    <w:rsid w:val="00044208"/>
    <w:rsid w:val="00054157"/>
    <w:rsid w:val="00072F6B"/>
    <w:rsid w:val="000A1442"/>
    <w:rsid w:val="000A75C1"/>
    <w:rsid w:val="000E67EF"/>
    <w:rsid w:val="000F2A0C"/>
    <w:rsid w:val="0012441F"/>
    <w:rsid w:val="0012552B"/>
    <w:rsid w:val="00136027"/>
    <w:rsid w:val="00160982"/>
    <w:rsid w:val="00160A27"/>
    <w:rsid w:val="0018009F"/>
    <w:rsid w:val="00183709"/>
    <w:rsid w:val="001C27CC"/>
    <w:rsid w:val="00245F3F"/>
    <w:rsid w:val="002520D9"/>
    <w:rsid w:val="002917FE"/>
    <w:rsid w:val="00303AEF"/>
    <w:rsid w:val="003067D8"/>
    <w:rsid w:val="0036045D"/>
    <w:rsid w:val="003711AD"/>
    <w:rsid w:val="003B6BB4"/>
    <w:rsid w:val="0042499C"/>
    <w:rsid w:val="00425D7F"/>
    <w:rsid w:val="0044004B"/>
    <w:rsid w:val="004641D2"/>
    <w:rsid w:val="004E2DB8"/>
    <w:rsid w:val="004E5757"/>
    <w:rsid w:val="00573720"/>
    <w:rsid w:val="005A3310"/>
    <w:rsid w:val="00617D6C"/>
    <w:rsid w:val="006441CB"/>
    <w:rsid w:val="00650EF1"/>
    <w:rsid w:val="00653523"/>
    <w:rsid w:val="006879E6"/>
    <w:rsid w:val="006D37F2"/>
    <w:rsid w:val="00707065"/>
    <w:rsid w:val="00744F2C"/>
    <w:rsid w:val="007A2429"/>
    <w:rsid w:val="008178F7"/>
    <w:rsid w:val="008C458A"/>
    <w:rsid w:val="00946BEB"/>
    <w:rsid w:val="009536B9"/>
    <w:rsid w:val="0096694A"/>
    <w:rsid w:val="009750FF"/>
    <w:rsid w:val="009824A6"/>
    <w:rsid w:val="009C131A"/>
    <w:rsid w:val="009F2486"/>
    <w:rsid w:val="00A86D67"/>
    <w:rsid w:val="00AA67E4"/>
    <w:rsid w:val="00AD4BBC"/>
    <w:rsid w:val="00B3267B"/>
    <w:rsid w:val="00B346A3"/>
    <w:rsid w:val="00B46A6F"/>
    <w:rsid w:val="00B92BD2"/>
    <w:rsid w:val="00BA4E4E"/>
    <w:rsid w:val="00C074AD"/>
    <w:rsid w:val="00C144CE"/>
    <w:rsid w:val="00C40D1C"/>
    <w:rsid w:val="00C8636F"/>
    <w:rsid w:val="00C92353"/>
    <w:rsid w:val="00CC3FBA"/>
    <w:rsid w:val="00D04313"/>
    <w:rsid w:val="00D3775C"/>
    <w:rsid w:val="00D3788B"/>
    <w:rsid w:val="00D46475"/>
    <w:rsid w:val="00DA7071"/>
    <w:rsid w:val="00E44F5E"/>
    <w:rsid w:val="00E6649B"/>
    <w:rsid w:val="00E74FF6"/>
    <w:rsid w:val="00ED31F3"/>
    <w:rsid w:val="00F60C36"/>
    <w:rsid w:val="00F97020"/>
    <w:rsid w:val="00F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3BC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44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00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0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B6BB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44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00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0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B6B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pbskids.org/cyberchase/media/games/area/" TargetMode="External"/><Relationship Id="rId12" Type="http://schemas.openxmlformats.org/officeDocument/2006/relationships/image" Target="media/image1.jpeg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tn.gov/assets/entities/sbe/attachments/4-15-16_V_A_Math_Standards_Attachment.pdf" TargetMode="External"/><Relationship Id="rId9" Type="http://schemas.openxmlformats.org/officeDocument/2006/relationships/hyperlink" Target="https://www.youtube.com/watch?v=bWhWL1MET7A" TargetMode="External"/><Relationship Id="rId10" Type="http://schemas.openxmlformats.org/officeDocument/2006/relationships/hyperlink" Target="https://www.tn.gov/assets/entities/sbe/attachments/4-15-16_V_A_Math_Standards_Attachmen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702</Words>
  <Characters>4006</Characters>
  <Application>Microsoft Macintosh Word</Application>
  <DocSecurity>0</DocSecurity>
  <Lines>33</Lines>
  <Paragraphs>9</Paragraphs>
  <ScaleCrop>false</ScaleCrop>
  <Company>TTU</Company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Suters</cp:lastModifiedBy>
  <cp:revision>4</cp:revision>
  <dcterms:created xsi:type="dcterms:W3CDTF">2016-11-07T01:59:00Z</dcterms:created>
  <dcterms:modified xsi:type="dcterms:W3CDTF">2016-11-07T02:03:00Z</dcterms:modified>
</cp:coreProperties>
</file>